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DB13C2">
        <w:rPr>
          <w:u w:val="single"/>
        </w:rPr>
        <w:t xml:space="preserve"> DELAWARE</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48406F">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CD19E2" w:rsidRDefault="00CD19E2" w:rsidP="00CD19E2">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CD19E2" w:rsidRDefault="00CD19E2" w:rsidP="00CD19E2">
      <w:pPr>
        <w:pStyle w:val="BodyText"/>
        <w:spacing w:before="1"/>
        <w:rPr>
          <w:i/>
        </w:rPr>
      </w:pPr>
    </w:p>
    <w:p w:rsidR="00CD19E2" w:rsidRDefault="00CD19E2" w:rsidP="00CD19E2">
      <w:pPr>
        <w:ind w:left="1446" w:right="1265"/>
        <w:jc w:val="center"/>
        <w:rPr>
          <w:b/>
          <w:sz w:val="28"/>
        </w:rPr>
      </w:pPr>
      <w:r>
        <w:rPr>
          <w:b/>
          <w:sz w:val="28"/>
        </w:rPr>
        <w:t>A Summary of Your Rights Under the Fair Credit Reporting Act</w:t>
      </w:r>
    </w:p>
    <w:p w:rsidR="00CD19E2" w:rsidRDefault="00CD19E2" w:rsidP="00CD19E2">
      <w:pPr>
        <w:pStyle w:val="BodyText"/>
        <w:spacing w:before="9"/>
        <w:rPr>
          <w:b/>
          <w:sz w:val="27"/>
        </w:rPr>
      </w:pPr>
    </w:p>
    <w:p w:rsidR="00CD19E2" w:rsidRDefault="00CD19E2" w:rsidP="00CD19E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CD19E2" w:rsidRDefault="00CD19E2" w:rsidP="00CD19E2">
      <w:pPr>
        <w:pStyle w:val="BodyText"/>
        <w:spacing w:before="11"/>
        <w:rPr>
          <w:b/>
          <w:sz w:val="23"/>
        </w:rPr>
      </w:pPr>
    </w:p>
    <w:p w:rsidR="00CD19E2" w:rsidRDefault="00CD19E2" w:rsidP="00CD19E2">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CD19E2" w:rsidRDefault="00CD19E2" w:rsidP="00CD19E2">
      <w:pPr>
        <w:pStyle w:val="BodyText"/>
        <w:spacing w:before="2"/>
        <w:rPr>
          <w:sz w:val="25"/>
        </w:rPr>
      </w:pPr>
    </w:p>
    <w:p w:rsidR="00CD19E2" w:rsidRDefault="00CD19E2" w:rsidP="00CD19E2">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CD19E2" w:rsidRDefault="00CD19E2" w:rsidP="00CD19E2">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CD19E2" w:rsidRDefault="00CD19E2" w:rsidP="00CD19E2">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CD19E2" w:rsidRDefault="00CD19E2" w:rsidP="00CD19E2">
      <w:pPr>
        <w:pStyle w:val="ListParagraph"/>
        <w:numPr>
          <w:ilvl w:val="1"/>
          <w:numId w:val="14"/>
        </w:numPr>
        <w:tabs>
          <w:tab w:val="left" w:pos="2460"/>
        </w:tabs>
        <w:adjustRightInd/>
        <w:spacing w:line="276" w:lineRule="exact"/>
      </w:pPr>
      <w:r>
        <w:t>you are on public</w:t>
      </w:r>
      <w:r>
        <w:rPr>
          <w:spacing w:val="-3"/>
        </w:rPr>
        <w:t xml:space="preserve"> </w:t>
      </w:r>
      <w:r>
        <w:t>assistance;</w:t>
      </w:r>
    </w:p>
    <w:p w:rsidR="00CD19E2" w:rsidRDefault="00CD19E2" w:rsidP="00CD19E2">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CD19E2" w:rsidRDefault="00CD19E2" w:rsidP="00CD19E2">
      <w:pPr>
        <w:pStyle w:val="BodyText"/>
        <w:spacing w:before="2"/>
        <w:rPr>
          <w:sz w:val="22"/>
        </w:rPr>
      </w:pPr>
    </w:p>
    <w:p w:rsidR="00CD19E2" w:rsidRDefault="00CD19E2" w:rsidP="00CD19E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CD19E2" w:rsidRDefault="00CD19E2" w:rsidP="00CD19E2">
      <w:pPr>
        <w:pStyle w:val="BodyText"/>
        <w:spacing w:before="11"/>
        <w:rPr>
          <w:sz w:val="23"/>
        </w:rPr>
      </w:pPr>
    </w:p>
    <w:p w:rsidR="00CD19E2" w:rsidRDefault="00CD19E2" w:rsidP="00CD19E2">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CD19E2" w:rsidRDefault="00CD19E2" w:rsidP="00CD19E2">
      <w:pPr>
        <w:sectPr w:rsidR="00CD19E2" w:rsidSect="00CD19E2">
          <w:footerReference w:type="default" r:id="rId14"/>
          <w:pgSz w:w="12240" w:h="15840"/>
          <w:pgMar w:top="1360" w:right="600" w:bottom="1180" w:left="420" w:header="720" w:footer="983" w:gutter="0"/>
          <w:pgNumType w:start="1"/>
          <w:cols w:space="720"/>
        </w:sectPr>
      </w:pPr>
    </w:p>
    <w:p w:rsidR="00CD19E2" w:rsidRDefault="00CD19E2" w:rsidP="00CD19E2">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CD19E2" w:rsidRDefault="00CD19E2" w:rsidP="00CD19E2">
      <w:pPr>
        <w:pStyle w:val="BodyText"/>
        <w:spacing w:before="11"/>
        <w:rPr>
          <w:sz w:val="23"/>
        </w:rPr>
      </w:pPr>
    </w:p>
    <w:p w:rsidR="00CD19E2" w:rsidRDefault="00CD19E2" w:rsidP="00CD19E2">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CD19E2" w:rsidRDefault="00CD19E2" w:rsidP="00CD19E2">
      <w:pPr>
        <w:pStyle w:val="BodyText"/>
        <w:spacing w:before="11"/>
        <w:rPr>
          <w:sz w:val="23"/>
        </w:rPr>
      </w:pPr>
    </w:p>
    <w:p w:rsidR="00CD19E2" w:rsidRDefault="00CD19E2" w:rsidP="00CD19E2">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CD19E2" w:rsidRDefault="00CD19E2" w:rsidP="00CD19E2">
      <w:pPr>
        <w:pStyle w:val="BodyText"/>
        <w:spacing w:before="2"/>
      </w:pPr>
    </w:p>
    <w:p w:rsidR="00CD19E2" w:rsidRDefault="00CD19E2" w:rsidP="00CD19E2">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CD19E2" w:rsidRDefault="00CD19E2" w:rsidP="00CD19E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CD19E2" w:rsidRDefault="00CD19E2" w:rsidP="00CD19E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CD19E2" w:rsidRDefault="00CD19E2" w:rsidP="00CD19E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CD19E2" w:rsidRDefault="00CD19E2" w:rsidP="00CD19E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CD19E2" w:rsidRDefault="00CD19E2" w:rsidP="00CD19E2">
      <w:pPr>
        <w:spacing w:line="295" w:lineRule="auto"/>
        <w:sectPr w:rsidR="00CD19E2">
          <w:pgSz w:w="12240" w:h="15840"/>
          <w:pgMar w:top="1360" w:right="600" w:bottom="1260" w:left="420" w:header="0" w:footer="983" w:gutter="0"/>
          <w:cols w:space="720"/>
        </w:sectPr>
      </w:pPr>
    </w:p>
    <w:p w:rsidR="00CD19E2" w:rsidRDefault="00CD19E2" w:rsidP="00CD19E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CD19E2" w:rsidRDefault="00CD19E2" w:rsidP="00CD19E2">
      <w:pPr>
        <w:pStyle w:val="BodyText"/>
      </w:pPr>
    </w:p>
    <w:p w:rsidR="00CD19E2" w:rsidRDefault="00CD19E2" w:rsidP="00CD19E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CD19E2" w:rsidRDefault="00CD19E2" w:rsidP="00CD19E2">
      <w:pPr>
        <w:pStyle w:val="BodyText"/>
        <w:spacing w:before="11"/>
        <w:rPr>
          <w:sz w:val="23"/>
        </w:rPr>
      </w:pPr>
    </w:p>
    <w:p w:rsidR="00CD19E2" w:rsidRDefault="00CD19E2" w:rsidP="00CD19E2">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CD19E2" w:rsidRDefault="00CD19E2" w:rsidP="00CD19E2">
      <w:pPr>
        <w:pStyle w:val="BodyText"/>
        <w:spacing w:before="10"/>
        <w:rPr>
          <w:sz w:val="23"/>
        </w:rPr>
      </w:pPr>
    </w:p>
    <w:p w:rsidR="00CD19E2" w:rsidRDefault="00CD19E2" w:rsidP="00CD19E2">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CD19E2" w:rsidRDefault="00CD19E2" w:rsidP="00CD19E2">
      <w:pPr>
        <w:pStyle w:val="BodyText"/>
        <w:spacing w:before="1"/>
        <w:rPr>
          <w:sz w:val="16"/>
        </w:rPr>
      </w:pPr>
    </w:p>
    <w:p w:rsidR="00CD19E2" w:rsidRDefault="00CD19E2" w:rsidP="00CD19E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CD19E2" w:rsidRDefault="00CD19E2" w:rsidP="00CD19E2">
      <w:pPr>
        <w:sectPr w:rsidR="00CD19E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CD19E2" w:rsidTr="0019461B">
        <w:trPr>
          <w:trHeight w:val="321"/>
        </w:trPr>
        <w:tc>
          <w:tcPr>
            <w:tcW w:w="4783" w:type="dxa"/>
          </w:tcPr>
          <w:p w:rsidR="00CD19E2" w:rsidRDefault="00CD19E2" w:rsidP="0019461B">
            <w:pPr>
              <w:pStyle w:val="TableParagraph"/>
              <w:spacing w:line="301" w:lineRule="exact"/>
              <w:ind w:left="1029"/>
              <w:rPr>
                <w:b/>
                <w:sz w:val="28"/>
              </w:rPr>
            </w:pPr>
            <w:r>
              <w:rPr>
                <w:b/>
                <w:sz w:val="28"/>
              </w:rPr>
              <w:lastRenderedPageBreak/>
              <w:t>TYPE OF BUSINESS:</w:t>
            </w:r>
          </w:p>
        </w:tc>
        <w:tc>
          <w:tcPr>
            <w:tcW w:w="6209" w:type="dxa"/>
          </w:tcPr>
          <w:p w:rsidR="00CD19E2" w:rsidRDefault="00CD19E2" w:rsidP="0019461B">
            <w:pPr>
              <w:pStyle w:val="TableParagraph"/>
              <w:spacing w:line="275" w:lineRule="exact"/>
              <w:ind w:left="2441" w:right="2436"/>
              <w:jc w:val="center"/>
              <w:rPr>
                <w:b/>
              </w:rPr>
            </w:pPr>
            <w:r>
              <w:rPr>
                <w:b/>
              </w:rPr>
              <w:t>CONTACT:</w:t>
            </w:r>
          </w:p>
        </w:tc>
      </w:tr>
      <w:tr w:rsidR="00CD19E2" w:rsidTr="0019461B">
        <w:trPr>
          <w:trHeight w:val="2157"/>
        </w:trPr>
        <w:tc>
          <w:tcPr>
            <w:tcW w:w="4783" w:type="dxa"/>
          </w:tcPr>
          <w:p w:rsidR="00CD19E2" w:rsidRDefault="00CD19E2" w:rsidP="0019461B">
            <w:pPr>
              <w:pStyle w:val="TableParagraph"/>
              <w:spacing w:before="43"/>
              <w:ind w:left="115" w:right="199"/>
              <w:rPr>
                <w:sz w:val="20"/>
              </w:rPr>
            </w:pPr>
            <w:r>
              <w:rPr>
                <w:sz w:val="20"/>
              </w:rPr>
              <w:t>1.a. Banks, savings associations, and credit unions with total assets of over $10 billion and their affiliates</w:t>
            </w:r>
          </w:p>
          <w:p w:rsidR="00CD19E2" w:rsidRDefault="00CD19E2" w:rsidP="0019461B">
            <w:pPr>
              <w:pStyle w:val="TableParagraph"/>
              <w:ind w:left="0"/>
              <w:rPr>
                <w:b/>
              </w:rPr>
            </w:pPr>
          </w:p>
          <w:p w:rsidR="00CD19E2" w:rsidRDefault="00CD19E2" w:rsidP="0019461B">
            <w:pPr>
              <w:pStyle w:val="TableParagraph"/>
              <w:spacing w:before="2"/>
              <w:ind w:left="0"/>
              <w:rPr>
                <w:b/>
                <w:sz w:val="18"/>
              </w:rPr>
            </w:pPr>
          </w:p>
          <w:p w:rsidR="00CD19E2" w:rsidRDefault="00CD19E2"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CD19E2" w:rsidRDefault="00CD19E2" w:rsidP="00CD19E2">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CD19E2" w:rsidRDefault="00CD19E2" w:rsidP="0019461B">
            <w:pPr>
              <w:pStyle w:val="TableParagraph"/>
              <w:spacing w:before="1"/>
              <w:rPr>
                <w:sz w:val="20"/>
              </w:rPr>
            </w:pPr>
            <w:r>
              <w:rPr>
                <w:sz w:val="20"/>
              </w:rPr>
              <w:t>Washington, DC</w:t>
            </w:r>
            <w:r>
              <w:rPr>
                <w:spacing w:val="-8"/>
                <w:sz w:val="20"/>
              </w:rPr>
              <w:t xml:space="preserve"> </w:t>
            </w:r>
            <w:r>
              <w:rPr>
                <w:sz w:val="20"/>
              </w:rPr>
              <w:t>20552</w:t>
            </w:r>
          </w:p>
          <w:p w:rsidR="00CD19E2" w:rsidRDefault="00CD19E2" w:rsidP="0019461B">
            <w:pPr>
              <w:pStyle w:val="TableParagraph"/>
              <w:spacing w:before="1"/>
              <w:ind w:left="0"/>
              <w:rPr>
                <w:b/>
                <w:sz w:val="20"/>
              </w:rPr>
            </w:pPr>
          </w:p>
          <w:p w:rsidR="00CD19E2" w:rsidRDefault="00CD19E2" w:rsidP="00CD19E2">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CD19E2" w:rsidRDefault="00CD19E2" w:rsidP="0019461B">
            <w:pPr>
              <w:pStyle w:val="TableParagraph"/>
              <w:spacing w:line="229" w:lineRule="exact"/>
              <w:rPr>
                <w:sz w:val="20"/>
              </w:rPr>
            </w:pPr>
            <w:r>
              <w:rPr>
                <w:sz w:val="20"/>
              </w:rPr>
              <w:t>(877) 382-4357</w:t>
            </w:r>
          </w:p>
        </w:tc>
      </w:tr>
      <w:tr w:rsidR="00CD19E2" w:rsidTr="0019461B">
        <w:trPr>
          <w:trHeight w:val="4454"/>
        </w:trPr>
        <w:tc>
          <w:tcPr>
            <w:tcW w:w="4783" w:type="dxa"/>
          </w:tcPr>
          <w:p w:rsidR="00CD19E2" w:rsidRDefault="00CD19E2" w:rsidP="0019461B">
            <w:pPr>
              <w:pStyle w:val="TableParagraph"/>
              <w:spacing w:before="43" w:line="229" w:lineRule="exact"/>
              <w:ind w:left="115"/>
              <w:rPr>
                <w:sz w:val="20"/>
              </w:rPr>
            </w:pPr>
            <w:r>
              <w:rPr>
                <w:sz w:val="20"/>
              </w:rPr>
              <w:t>2. To the extent not included in item 1 above:</w:t>
            </w:r>
          </w:p>
          <w:p w:rsidR="00CD19E2" w:rsidRDefault="00CD19E2" w:rsidP="00CD19E2">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CD19E2" w:rsidRDefault="00CD19E2" w:rsidP="0019461B">
            <w:pPr>
              <w:pStyle w:val="TableParagraph"/>
              <w:ind w:left="0"/>
              <w:rPr>
                <w:b/>
              </w:rPr>
            </w:pPr>
          </w:p>
          <w:p w:rsidR="00CD19E2" w:rsidRDefault="00CD19E2" w:rsidP="0019461B">
            <w:pPr>
              <w:pStyle w:val="TableParagraph"/>
              <w:spacing w:before="1"/>
              <w:ind w:left="0"/>
              <w:rPr>
                <w:b/>
                <w:sz w:val="18"/>
              </w:rPr>
            </w:pPr>
          </w:p>
          <w:p w:rsidR="00CD19E2" w:rsidRDefault="00CD19E2" w:rsidP="00CD19E2">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CD19E2" w:rsidRDefault="00CD19E2" w:rsidP="0019461B">
            <w:pPr>
              <w:pStyle w:val="TableParagraph"/>
              <w:spacing w:before="1"/>
              <w:ind w:left="0"/>
              <w:rPr>
                <w:b/>
                <w:sz w:val="20"/>
              </w:rPr>
            </w:pPr>
          </w:p>
          <w:p w:rsidR="00CD19E2" w:rsidRDefault="00CD19E2" w:rsidP="00CD19E2">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CD19E2" w:rsidRDefault="00CD19E2" w:rsidP="0019461B">
            <w:pPr>
              <w:pStyle w:val="TableParagraph"/>
              <w:spacing w:before="11"/>
              <w:ind w:left="0"/>
              <w:rPr>
                <w:b/>
                <w:sz w:val="19"/>
              </w:rPr>
            </w:pPr>
          </w:p>
          <w:p w:rsidR="00CD19E2" w:rsidRDefault="00CD19E2" w:rsidP="00CD19E2">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CD19E2" w:rsidRDefault="00CD19E2" w:rsidP="0019461B">
            <w:pPr>
              <w:pStyle w:val="TableParagraph"/>
              <w:spacing w:before="43"/>
              <w:ind w:right="2523"/>
              <w:rPr>
                <w:sz w:val="20"/>
              </w:rPr>
            </w:pPr>
            <w:r>
              <w:rPr>
                <w:sz w:val="20"/>
              </w:rPr>
              <w:t>a. Office of the Comptroller of the Currency Customer Assistance Group</w:t>
            </w:r>
          </w:p>
          <w:p w:rsidR="00CD19E2" w:rsidRDefault="00CD19E2" w:rsidP="0019461B">
            <w:pPr>
              <w:pStyle w:val="TableParagraph"/>
              <w:ind w:right="4472"/>
              <w:rPr>
                <w:sz w:val="20"/>
              </w:rPr>
            </w:pPr>
            <w:r>
              <w:rPr>
                <w:sz w:val="20"/>
              </w:rPr>
              <w:t>P.O. Box 53570 Houston, TX 77052</w:t>
            </w:r>
          </w:p>
          <w:p w:rsidR="00CD19E2" w:rsidRDefault="00CD19E2" w:rsidP="0019461B">
            <w:pPr>
              <w:pStyle w:val="TableParagraph"/>
              <w:ind w:left="0"/>
              <w:rPr>
                <w:b/>
                <w:sz w:val="20"/>
              </w:rPr>
            </w:pPr>
          </w:p>
          <w:p w:rsidR="00CD19E2" w:rsidRDefault="00CD19E2" w:rsidP="0019461B">
            <w:pPr>
              <w:pStyle w:val="TableParagraph"/>
              <w:rPr>
                <w:sz w:val="20"/>
              </w:rPr>
            </w:pPr>
            <w:r>
              <w:rPr>
                <w:sz w:val="20"/>
              </w:rPr>
              <w:t>b. Federal Reserve Consumer Help Center</w:t>
            </w:r>
          </w:p>
          <w:p w:rsidR="00CD19E2" w:rsidRDefault="00CD19E2" w:rsidP="0019461B">
            <w:pPr>
              <w:pStyle w:val="TableParagraph"/>
              <w:spacing w:before="1"/>
              <w:ind w:right="4094"/>
              <w:rPr>
                <w:sz w:val="20"/>
              </w:rPr>
            </w:pPr>
            <w:r>
              <w:rPr>
                <w:sz w:val="20"/>
              </w:rPr>
              <w:t>P.O. Box 1200 Minneapolis, MN 55480</w:t>
            </w:r>
          </w:p>
          <w:p w:rsidR="00CD19E2" w:rsidRDefault="00CD19E2" w:rsidP="0019461B">
            <w:pPr>
              <w:pStyle w:val="TableParagraph"/>
              <w:spacing w:before="10"/>
              <w:ind w:left="0"/>
              <w:rPr>
                <w:b/>
                <w:sz w:val="19"/>
              </w:rPr>
            </w:pPr>
          </w:p>
          <w:p w:rsidR="00CD19E2" w:rsidRDefault="00CD19E2" w:rsidP="00CD19E2">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CD19E2" w:rsidRDefault="00CD19E2" w:rsidP="0019461B">
            <w:pPr>
              <w:pStyle w:val="TableParagraph"/>
              <w:spacing w:before="2"/>
              <w:ind w:right="3728"/>
              <w:rPr>
                <w:sz w:val="20"/>
              </w:rPr>
            </w:pPr>
            <w:r>
              <w:rPr>
                <w:sz w:val="20"/>
              </w:rPr>
              <w:t>1100 Walnut Street, Box #11 Kansas City, MO 64106</w:t>
            </w:r>
          </w:p>
          <w:p w:rsidR="00CD19E2" w:rsidRDefault="00CD19E2" w:rsidP="0019461B">
            <w:pPr>
              <w:pStyle w:val="TableParagraph"/>
              <w:spacing w:before="10"/>
              <w:ind w:left="0"/>
              <w:rPr>
                <w:b/>
                <w:sz w:val="19"/>
              </w:rPr>
            </w:pPr>
          </w:p>
          <w:p w:rsidR="00CD19E2" w:rsidRDefault="00CD19E2" w:rsidP="00CD19E2">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CD19E2" w:rsidRDefault="00CD19E2" w:rsidP="0019461B">
            <w:pPr>
              <w:pStyle w:val="TableParagraph"/>
              <w:spacing w:before="1"/>
              <w:jc w:val="both"/>
              <w:rPr>
                <w:sz w:val="20"/>
              </w:rPr>
            </w:pPr>
            <w:r>
              <w:rPr>
                <w:sz w:val="20"/>
              </w:rPr>
              <w:t>Alexandria, VA 22314</w:t>
            </w:r>
          </w:p>
        </w:tc>
      </w:tr>
      <w:tr w:rsidR="00CD19E2" w:rsidTr="0019461B">
        <w:trPr>
          <w:trHeight w:val="1007"/>
        </w:trPr>
        <w:tc>
          <w:tcPr>
            <w:tcW w:w="4783" w:type="dxa"/>
          </w:tcPr>
          <w:p w:rsidR="00CD19E2" w:rsidRDefault="00CD19E2" w:rsidP="0019461B">
            <w:pPr>
              <w:pStyle w:val="TableParagraph"/>
              <w:spacing w:before="43"/>
              <w:ind w:left="115"/>
              <w:rPr>
                <w:sz w:val="20"/>
              </w:rPr>
            </w:pPr>
            <w:r>
              <w:rPr>
                <w:sz w:val="20"/>
              </w:rPr>
              <w:t>3. Air carriers</w:t>
            </w:r>
          </w:p>
        </w:tc>
        <w:tc>
          <w:tcPr>
            <w:tcW w:w="6209" w:type="dxa"/>
          </w:tcPr>
          <w:p w:rsidR="00CD19E2" w:rsidRDefault="00CD19E2" w:rsidP="0019461B">
            <w:pPr>
              <w:pStyle w:val="TableParagraph"/>
              <w:spacing w:before="43"/>
              <w:ind w:right="1262"/>
              <w:rPr>
                <w:sz w:val="20"/>
              </w:rPr>
            </w:pPr>
            <w:r>
              <w:rPr>
                <w:sz w:val="20"/>
              </w:rPr>
              <w:t>Assistant General Counsel for Office of Aviation Protection Department of Transportation</w:t>
            </w:r>
          </w:p>
          <w:p w:rsidR="00CD19E2" w:rsidRDefault="00CD19E2" w:rsidP="0019461B">
            <w:pPr>
              <w:pStyle w:val="TableParagraph"/>
              <w:spacing w:before="1"/>
              <w:ind w:right="3734"/>
              <w:rPr>
                <w:sz w:val="20"/>
              </w:rPr>
            </w:pPr>
            <w:r>
              <w:rPr>
                <w:sz w:val="20"/>
              </w:rPr>
              <w:t>1200 New Jersey Avenue SE Washington, DC 20590</w:t>
            </w:r>
          </w:p>
        </w:tc>
      </w:tr>
      <w:tr w:rsidR="00CD19E2" w:rsidTr="0019461B">
        <w:trPr>
          <w:trHeight w:val="1005"/>
        </w:trPr>
        <w:tc>
          <w:tcPr>
            <w:tcW w:w="4783" w:type="dxa"/>
          </w:tcPr>
          <w:p w:rsidR="00CD19E2" w:rsidRDefault="00CD19E2" w:rsidP="0019461B">
            <w:pPr>
              <w:pStyle w:val="TableParagraph"/>
              <w:spacing w:before="43"/>
              <w:ind w:left="115"/>
              <w:rPr>
                <w:sz w:val="20"/>
              </w:rPr>
            </w:pPr>
            <w:r>
              <w:rPr>
                <w:sz w:val="20"/>
              </w:rPr>
              <w:t>4. Creditors Subject to the Surface Transportation Board</w:t>
            </w:r>
          </w:p>
        </w:tc>
        <w:tc>
          <w:tcPr>
            <w:tcW w:w="6209" w:type="dxa"/>
          </w:tcPr>
          <w:p w:rsidR="00CD19E2" w:rsidRDefault="00CD19E2" w:rsidP="0019461B">
            <w:pPr>
              <w:pStyle w:val="TableParagraph"/>
              <w:spacing w:before="43"/>
              <w:ind w:right="607"/>
              <w:rPr>
                <w:sz w:val="20"/>
              </w:rPr>
            </w:pPr>
            <w:r>
              <w:rPr>
                <w:sz w:val="20"/>
              </w:rPr>
              <w:t>Office of Public Assistance, Governmental Affairs, and Compliance Surface Transportation Board</w:t>
            </w:r>
          </w:p>
          <w:p w:rsidR="00CD19E2" w:rsidRDefault="00CD19E2" w:rsidP="0019461B">
            <w:pPr>
              <w:pStyle w:val="TableParagraph"/>
              <w:ind w:right="4172" w:hanging="1"/>
              <w:rPr>
                <w:sz w:val="20"/>
              </w:rPr>
            </w:pPr>
            <w:r>
              <w:rPr>
                <w:sz w:val="20"/>
              </w:rPr>
              <w:t>395 E Street SW Washington, DC 20423</w:t>
            </w:r>
          </w:p>
        </w:tc>
      </w:tr>
      <w:tr w:rsidR="00CD19E2" w:rsidTr="0019461B">
        <w:trPr>
          <w:trHeight w:val="546"/>
        </w:trPr>
        <w:tc>
          <w:tcPr>
            <w:tcW w:w="4783" w:type="dxa"/>
          </w:tcPr>
          <w:p w:rsidR="00CD19E2" w:rsidRDefault="00CD19E2" w:rsidP="0019461B">
            <w:pPr>
              <w:pStyle w:val="TableParagraph"/>
              <w:spacing w:before="43"/>
              <w:ind w:left="115" w:right="205"/>
              <w:rPr>
                <w:sz w:val="20"/>
              </w:rPr>
            </w:pPr>
            <w:r>
              <w:rPr>
                <w:sz w:val="20"/>
              </w:rPr>
              <w:t>5. Creditors Subject to the Packers and Stockyards Act, 1921</w:t>
            </w:r>
          </w:p>
        </w:tc>
        <w:tc>
          <w:tcPr>
            <w:tcW w:w="6209" w:type="dxa"/>
          </w:tcPr>
          <w:p w:rsidR="00CD19E2" w:rsidRDefault="00CD19E2" w:rsidP="0019461B">
            <w:pPr>
              <w:pStyle w:val="TableParagraph"/>
              <w:spacing w:before="43"/>
              <w:rPr>
                <w:sz w:val="20"/>
              </w:rPr>
            </w:pPr>
            <w:r>
              <w:rPr>
                <w:sz w:val="20"/>
              </w:rPr>
              <w:t>Nearest Packers and Stockyards Division Regional Office</w:t>
            </w:r>
          </w:p>
        </w:tc>
      </w:tr>
      <w:tr w:rsidR="00CD19E2" w:rsidTr="0019461B">
        <w:trPr>
          <w:trHeight w:val="1005"/>
        </w:trPr>
        <w:tc>
          <w:tcPr>
            <w:tcW w:w="4783" w:type="dxa"/>
          </w:tcPr>
          <w:p w:rsidR="00CD19E2" w:rsidRDefault="00CD19E2" w:rsidP="0019461B">
            <w:pPr>
              <w:pStyle w:val="TableParagraph"/>
              <w:spacing w:before="43"/>
              <w:ind w:left="115"/>
              <w:rPr>
                <w:sz w:val="20"/>
              </w:rPr>
            </w:pPr>
            <w:r>
              <w:rPr>
                <w:sz w:val="20"/>
              </w:rPr>
              <w:t>6. Small Business Investment Companies</w:t>
            </w:r>
          </w:p>
        </w:tc>
        <w:tc>
          <w:tcPr>
            <w:tcW w:w="6209" w:type="dxa"/>
          </w:tcPr>
          <w:p w:rsidR="00CD19E2" w:rsidRDefault="00CD19E2" w:rsidP="0019461B">
            <w:pPr>
              <w:pStyle w:val="TableParagraph"/>
              <w:spacing w:before="43"/>
              <w:ind w:right="2046"/>
              <w:rPr>
                <w:sz w:val="20"/>
              </w:rPr>
            </w:pPr>
            <w:r>
              <w:rPr>
                <w:sz w:val="20"/>
              </w:rPr>
              <w:t>Associate Administrator, Office of Capital Access United States Small Business Administration</w:t>
            </w:r>
          </w:p>
          <w:p w:rsidR="00CD19E2" w:rsidRDefault="00CD19E2" w:rsidP="0019461B">
            <w:pPr>
              <w:pStyle w:val="TableParagraph"/>
              <w:spacing w:line="228" w:lineRule="exact"/>
              <w:rPr>
                <w:sz w:val="20"/>
              </w:rPr>
            </w:pPr>
            <w:r>
              <w:rPr>
                <w:sz w:val="20"/>
              </w:rPr>
              <w:t>409 Third Street SW, Suite 8200</w:t>
            </w:r>
          </w:p>
          <w:p w:rsidR="00CD19E2" w:rsidRDefault="00CD19E2" w:rsidP="0019461B">
            <w:pPr>
              <w:pStyle w:val="TableParagraph"/>
              <w:spacing w:before="1"/>
              <w:rPr>
                <w:sz w:val="20"/>
              </w:rPr>
            </w:pPr>
            <w:r>
              <w:rPr>
                <w:sz w:val="20"/>
              </w:rPr>
              <w:t>Washington, DC 20416</w:t>
            </w:r>
          </w:p>
        </w:tc>
      </w:tr>
      <w:tr w:rsidR="00CD19E2" w:rsidTr="0019461B">
        <w:trPr>
          <w:trHeight w:val="774"/>
        </w:trPr>
        <w:tc>
          <w:tcPr>
            <w:tcW w:w="4783" w:type="dxa"/>
          </w:tcPr>
          <w:p w:rsidR="00CD19E2" w:rsidRDefault="00CD19E2" w:rsidP="0019461B">
            <w:pPr>
              <w:pStyle w:val="TableParagraph"/>
              <w:spacing w:before="43"/>
              <w:ind w:left="115"/>
              <w:rPr>
                <w:sz w:val="20"/>
              </w:rPr>
            </w:pPr>
            <w:r>
              <w:rPr>
                <w:sz w:val="20"/>
              </w:rPr>
              <w:t>7. Brokers and Dealers</w:t>
            </w:r>
          </w:p>
        </w:tc>
        <w:tc>
          <w:tcPr>
            <w:tcW w:w="6209" w:type="dxa"/>
          </w:tcPr>
          <w:p w:rsidR="00CD19E2" w:rsidRDefault="00CD19E2" w:rsidP="0019461B">
            <w:pPr>
              <w:pStyle w:val="TableParagraph"/>
              <w:spacing w:before="43"/>
              <w:ind w:right="3039"/>
              <w:rPr>
                <w:sz w:val="20"/>
              </w:rPr>
            </w:pPr>
            <w:r>
              <w:rPr>
                <w:sz w:val="20"/>
              </w:rPr>
              <w:t>Securities and Exchange Commission 100 F Street NE</w:t>
            </w:r>
          </w:p>
          <w:p w:rsidR="00CD19E2" w:rsidRDefault="00CD19E2" w:rsidP="0019461B">
            <w:pPr>
              <w:pStyle w:val="TableParagraph"/>
              <w:spacing w:before="1"/>
              <w:rPr>
                <w:sz w:val="20"/>
              </w:rPr>
            </w:pPr>
            <w:r>
              <w:rPr>
                <w:sz w:val="20"/>
              </w:rPr>
              <w:t>Washington, DC 20549</w:t>
            </w:r>
          </w:p>
        </w:tc>
      </w:tr>
      <w:tr w:rsidR="00CD19E2" w:rsidTr="0019461B">
        <w:trPr>
          <w:trHeight w:val="777"/>
        </w:trPr>
        <w:tc>
          <w:tcPr>
            <w:tcW w:w="4783" w:type="dxa"/>
          </w:tcPr>
          <w:p w:rsidR="00CD19E2" w:rsidRDefault="00CD19E2" w:rsidP="0019461B">
            <w:pPr>
              <w:pStyle w:val="TableParagraph"/>
              <w:spacing w:before="43"/>
              <w:ind w:left="115" w:right="577"/>
              <w:rPr>
                <w:sz w:val="20"/>
              </w:rPr>
            </w:pPr>
            <w:r>
              <w:rPr>
                <w:sz w:val="20"/>
              </w:rPr>
              <w:t>8. Institutions that are members of the Farm Credit System</w:t>
            </w:r>
          </w:p>
        </w:tc>
        <w:tc>
          <w:tcPr>
            <w:tcW w:w="6209" w:type="dxa"/>
          </w:tcPr>
          <w:p w:rsidR="00CD19E2" w:rsidRDefault="00CD19E2" w:rsidP="0019461B">
            <w:pPr>
              <w:pStyle w:val="TableParagraph"/>
              <w:spacing w:before="43"/>
              <w:ind w:right="3833"/>
              <w:rPr>
                <w:sz w:val="20"/>
              </w:rPr>
            </w:pPr>
            <w:r>
              <w:rPr>
                <w:sz w:val="20"/>
              </w:rPr>
              <w:t>Farm Credit Administration 1501 Farm Credit Drive McLean, VA 22102-5090</w:t>
            </w:r>
          </w:p>
        </w:tc>
      </w:tr>
      <w:tr w:rsidR="00CD19E2" w:rsidTr="0019461B">
        <w:trPr>
          <w:trHeight w:val="1235"/>
        </w:trPr>
        <w:tc>
          <w:tcPr>
            <w:tcW w:w="4783" w:type="dxa"/>
          </w:tcPr>
          <w:p w:rsidR="00CD19E2" w:rsidRDefault="00CD19E2" w:rsidP="0019461B">
            <w:pPr>
              <w:pStyle w:val="TableParagraph"/>
              <w:spacing w:before="43"/>
              <w:ind w:left="115" w:right="844"/>
              <w:rPr>
                <w:sz w:val="20"/>
              </w:rPr>
            </w:pPr>
            <w:r>
              <w:rPr>
                <w:sz w:val="20"/>
              </w:rPr>
              <w:t>9. Retailers, Finance Companies, and All Other Creditors Not Listed Above</w:t>
            </w:r>
          </w:p>
        </w:tc>
        <w:tc>
          <w:tcPr>
            <w:tcW w:w="6209" w:type="dxa"/>
          </w:tcPr>
          <w:p w:rsidR="00CD19E2" w:rsidRDefault="00CD19E2" w:rsidP="0019461B">
            <w:pPr>
              <w:pStyle w:val="TableParagraph"/>
              <w:spacing w:before="43"/>
              <w:ind w:right="3595"/>
              <w:rPr>
                <w:sz w:val="20"/>
              </w:rPr>
            </w:pPr>
            <w:r>
              <w:rPr>
                <w:sz w:val="20"/>
              </w:rPr>
              <w:t>Federal Trade Commission Consumer Response Center 600 Pennsylvania Avenue NW Washington, DC 20580</w:t>
            </w:r>
          </w:p>
          <w:p w:rsidR="00CD19E2" w:rsidRDefault="00CD19E2" w:rsidP="0019461B">
            <w:pPr>
              <w:pStyle w:val="TableParagraph"/>
              <w:spacing w:line="229" w:lineRule="exact"/>
              <w:rPr>
                <w:sz w:val="20"/>
              </w:rPr>
            </w:pPr>
            <w:r>
              <w:rPr>
                <w:sz w:val="20"/>
              </w:rPr>
              <w:t>(877) 382-4357</w:t>
            </w:r>
          </w:p>
        </w:tc>
      </w:tr>
    </w:tbl>
    <w:p w:rsidR="00DB13C2" w:rsidRDefault="00DB13C2">
      <w:pPr>
        <w:spacing w:after="200" w:line="276" w:lineRule="auto"/>
        <w:sectPr w:rsidR="00DB13C2">
          <w:headerReference w:type="default" r:id="rId18"/>
          <w:footerReference w:type="default" r:id="rId19"/>
          <w:pgSz w:w="12240" w:h="15840"/>
          <w:pgMar w:top="720" w:right="600" w:bottom="1180" w:left="420" w:header="0" w:footer="983" w:gutter="0"/>
          <w:cols w:space="720"/>
        </w:sectPr>
      </w:pPr>
      <w:r>
        <w:br w:type="page"/>
      </w:r>
    </w:p>
    <w:p w:rsidR="00DB13C2" w:rsidRPr="00DB13C2" w:rsidRDefault="00DB13C2" w:rsidP="00DB13C2">
      <w:pPr>
        <w:kinsoku w:val="0"/>
        <w:overflowPunct w:val="0"/>
        <w:autoSpaceDE w:val="0"/>
        <w:autoSpaceDN w:val="0"/>
        <w:adjustRightInd w:val="0"/>
        <w:spacing w:line="254" w:lineRule="exact"/>
        <w:ind w:left="1394" w:right="1394"/>
        <w:jc w:val="center"/>
        <w:outlineLvl w:val="0"/>
        <w:rPr>
          <w:rFonts w:ascii="Times New Roman" w:eastAsiaTheme="minorHAnsi" w:hAnsi="Times New Roman"/>
          <w:b/>
          <w:bCs/>
        </w:rPr>
      </w:pPr>
      <w:r w:rsidRPr="00DB13C2">
        <w:rPr>
          <w:rFonts w:ascii="Times New Roman" w:eastAsiaTheme="minorHAnsi" w:hAnsi="Times New Roman"/>
          <w:b/>
          <w:bCs/>
        </w:rPr>
        <w:lastRenderedPageBreak/>
        <w:t>Statement of Consumer Rights under Delaware Law</w:t>
      </w:r>
    </w:p>
    <w:p w:rsidR="00DB13C2" w:rsidRPr="00DB13C2" w:rsidRDefault="00DB13C2" w:rsidP="00DB13C2">
      <w:pPr>
        <w:kinsoku w:val="0"/>
        <w:overflowPunct w:val="0"/>
        <w:autoSpaceDE w:val="0"/>
        <w:autoSpaceDN w:val="0"/>
        <w:adjustRightInd w:val="0"/>
        <w:rPr>
          <w:rFonts w:ascii="Times New Roman" w:eastAsiaTheme="minorHAnsi" w:hAnsi="Times New Roman"/>
          <w:b/>
          <w:bCs/>
          <w:sz w:val="26"/>
          <w:szCs w:val="26"/>
        </w:rPr>
      </w:pPr>
    </w:p>
    <w:p w:rsidR="00DB13C2" w:rsidRPr="00DB13C2" w:rsidRDefault="00DB13C2" w:rsidP="00DB13C2">
      <w:pPr>
        <w:kinsoku w:val="0"/>
        <w:overflowPunct w:val="0"/>
        <w:autoSpaceDE w:val="0"/>
        <w:autoSpaceDN w:val="0"/>
        <w:adjustRightInd w:val="0"/>
        <w:spacing w:before="1"/>
        <w:ind w:left="1394" w:right="1394"/>
        <w:jc w:val="center"/>
        <w:rPr>
          <w:rFonts w:ascii="Times New Roman" w:eastAsiaTheme="minorHAnsi" w:hAnsi="Times New Roman"/>
          <w:b/>
          <w:bCs/>
        </w:rPr>
      </w:pPr>
      <w:r w:rsidRPr="00DB13C2">
        <w:rPr>
          <w:rFonts w:ascii="Times New Roman" w:eastAsiaTheme="minorHAnsi" w:hAnsi="Times New Roman"/>
          <w:b/>
          <w:bCs/>
        </w:rPr>
        <w:t>Delaware Consumers Have the Right to Obtain a Security Freeze.</w:t>
      </w:r>
    </w:p>
    <w:p w:rsidR="00DB13C2" w:rsidRPr="00DB13C2" w:rsidRDefault="00DB13C2" w:rsidP="00DB13C2">
      <w:pPr>
        <w:kinsoku w:val="0"/>
        <w:overflowPunct w:val="0"/>
        <w:autoSpaceDE w:val="0"/>
        <w:autoSpaceDN w:val="0"/>
        <w:adjustRightInd w:val="0"/>
        <w:spacing w:line="258" w:lineRule="exact"/>
        <w:ind w:left="40"/>
        <w:rPr>
          <w:rFonts w:ascii="Times New Roman" w:eastAsiaTheme="minorHAnsi" w:hAnsi="Times New Roman"/>
        </w:rPr>
      </w:pPr>
      <w:r w:rsidRPr="00DB13C2">
        <w:rPr>
          <w:rFonts w:ascii="Times New Roman" w:eastAsiaTheme="minorHAnsi" w:hAnsi="Times New Roman"/>
        </w:rPr>
        <w:t>You may obtain a security freeze on your credit report for no more than ten dollars to protect</w:t>
      </w:r>
    </w:p>
    <w:p w:rsidR="00DB13C2" w:rsidRPr="00DB13C2" w:rsidRDefault="00DB13C2" w:rsidP="00DB13C2">
      <w:pPr>
        <w:kinsoku w:val="0"/>
        <w:overflowPunct w:val="0"/>
        <w:autoSpaceDE w:val="0"/>
        <w:autoSpaceDN w:val="0"/>
        <w:adjustRightInd w:val="0"/>
        <w:ind w:left="40" w:right="183"/>
        <w:rPr>
          <w:rFonts w:ascii="Times New Roman" w:eastAsiaTheme="minorHAnsi" w:hAnsi="Times New Roman"/>
        </w:rPr>
      </w:pPr>
      <w:r w:rsidRPr="00DB13C2">
        <w:rPr>
          <w:rFonts w:ascii="Times New Roman" w:eastAsiaTheme="minorHAnsi" w:hAnsi="Times New Roman"/>
        </w:rPr>
        <w:t>your privacy and ensure that credit is not granted in your name without your knowledge. You have a right to place a security freeze on your credit report pursuant to Delaware law. The security freeze will prohibit a consumer reporting agency from releasing any information in your credit report without your express authorization or approval. You must separately request, by certified mail, that it be frozen by the three consumer reporting agencies and pay each a ten dollar fee to do so. After January 31, 2009, you will be able to request this freeze from the agencies by e-mail.</w:t>
      </w:r>
    </w:p>
    <w:p w:rsidR="00DB13C2" w:rsidRPr="00DB13C2" w:rsidRDefault="00DB13C2" w:rsidP="00DB13C2">
      <w:pPr>
        <w:kinsoku w:val="0"/>
        <w:overflowPunct w:val="0"/>
        <w:autoSpaceDE w:val="0"/>
        <w:autoSpaceDN w:val="0"/>
        <w:adjustRightInd w:val="0"/>
        <w:spacing w:before="3"/>
        <w:rPr>
          <w:rFonts w:ascii="Times New Roman" w:eastAsiaTheme="minorHAnsi" w:hAnsi="Times New Roman"/>
        </w:rPr>
      </w:pPr>
    </w:p>
    <w:p w:rsidR="00DB13C2" w:rsidRPr="00DB13C2" w:rsidRDefault="00DB13C2" w:rsidP="00DB13C2">
      <w:pPr>
        <w:kinsoku w:val="0"/>
        <w:overflowPunct w:val="0"/>
        <w:autoSpaceDE w:val="0"/>
        <w:autoSpaceDN w:val="0"/>
        <w:adjustRightInd w:val="0"/>
        <w:spacing w:before="1"/>
        <w:ind w:left="40" w:right="9"/>
        <w:rPr>
          <w:rFonts w:ascii="Times New Roman" w:eastAsiaTheme="minorHAnsi" w:hAnsi="Times New Roman"/>
        </w:rPr>
      </w:pPr>
      <w:r w:rsidRPr="00DB13C2">
        <w:rPr>
          <w:rFonts w:ascii="Times New Roman" w:eastAsiaTheme="minorHAnsi" w:hAnsi="Times New Roman"/>
        </w:rPr>
        <w:t>The security freeze is designed to prevent credit, loans, and services from being approved in your name without your consent. When you place a security freeze on your credit report, you will be sent a personal identification number or password to use if you choose to remove the freeze on your credit report or to temporarily authorize the release of your credit report for a specific period of time after the freeze is in place. To provide that authorization, you must contact the consumer reporting agency and provide all of the following:</w:t>
      </w:r>
    </w:p>
    <w:p w:rsidR="00DB13C2" w:rsidRPr="00DB13C2" w:rsidRDefault="00DB13C2" w:rsidP="00DB13C2">
      <w:pPr>
        <w:kinsoku w:val="0"/>
        <w:overflowPunct w:val="0"/>
        <w:autoSpaceDE w:val="0"/>
        <w:autoSpaceDN w:val="0"/>
        <w:adjustRightInd w:val="0"/>
        <w:spacing w:before="3"/>
        <w:rPr>
          <w:rFonts w:ascii="Times New Roman" w:eastAsiaTheme="minorHAnsi" w:hAnsi="Times New Roman"/>
        </w:rPr>
      </w:pPr>
    </w:p>
    <w:p w:rsidR="00DB13C2" w:rsidRPr="00DB13C2" w:rsidRDefault="00DB13C2" w:rsidP="00DB13C2">
      <w:pPr>
        <w:numPr>
          <w:ilvl w:val="0"/>
          <w:numId w:val="5"/>
        </w:numPr>
        <w:tabs>
          <w:tab w:val="left" w:pos="700"/>
        </w:tabs>
        <w:kinsoku w:val="0"/>
        <w:overflowPunct w:val="0"/>
        <w:autoSpaceDE w:val="0"/>
        <w:autoSpaceDN w:val="0"/>
        <w:adjustRightInd w:val="0"/>
        <w:ind w:left="400" w:right="983" w:firstLine="0"/>
        <w:rPr>
          <w:rFonts w:ascii="Times New Roman" w:eastAsiaTheme="minorHAnsi" w:hAnsi="Times New Roman"/>
        </w:rPr>
      </w:pPr>
      <w:r w:rsidRPr="00DB13C2">
        <w:rPr>
          <w:rFonts w:ascii="Times New Roman" w:eastAsiaTheme="minorHAnsi" w:hAnsi="Times New Roman"/>
        </w:rPr>
        <w:t>The unique personal identification number or password provided by the consumer reporting</w:t>
      </w:r>
      <w:r w:rsidRPr="00DB13C2">
        <w:rPr>
          <w:rFonts w:ascii="Times New Roman" w:eastAsiaTheme="minorHAnsi" w:hAnsi="Times New Roman"/>
          <w:spacing w:val="-3"/>
        </w:rPr>
        <w:t xml:space="preserve"> </w:t>
      </w:r>
      <w:r w:rsidRPr="00DB13C2">
        <w:rPr>
          <w:rFonts w:ascii="Times New Roman" w:eastAsiaTheme="minorHAnsi" w:hAnsi="Times New Roman"/>
        </w:rPr>
        <w:t>agency.</w:t>
      </w:r>
    </w:p>
    <w:p w:rsidR="00DB13C2" w:rsidRPr="00DB13C2" w:rsidRDefault="00DB13C2" w:rsidP="00DB13C2">
      <w:pPr>
        <w:kinsoku w:val="0"/>
        <w:overflowPunct w:val="0"/>
        <w:autoSpaceDE w:val="0"/>
        <w:autoSpaceDN w:val="0"/>
        <w:adjustRightInd w:val="0"/>
        <w:spacing w:before="4"/>
        <w:rPr>
          <w:rFonts w:ascii="Times New Roman" w:eastAsiaTheme="minorHAnsi" w:hAnsi="Times New Roman"/>
        </w:rPr>
      </w:pPr>
    </w:p>
    <w:p w:rsidR="00DB13C2" w:rsidRPr="00DB13C2" w:rsidRDefault="00DB13C2" w:rsidP="00DB13C2">
      <w:pPr>
        <w:numPr>
          <w:ilvl w:val="0"/>
          <w:numId w:val="5"/>
        </w:numPr>
        <w:tabs>
          <w:tab w:val="left" w:pos="700"/>
        </w:tabs>
        <w:kinsoku w:val="0"/>
        <w:overflowPunct w:val="0"/>
        <w:autoSpaceDE w:val="0"/>
        <w:autoSpaceDN w:val="0"/>
        <w:adjustRightInd w:val="0"/>
        <w:ind w:left="700" w:hanging="300"/>
        <w:rPr>
          <w:rFonts w:ascii="Times New Roman" w:eastAsiaTheme="minorHAnsi" w:hAnsi="Times New Roman"/>
        </w:rPr>
      </w:pPr>
      <w:r w:rsidRPr="00DB13C2">
        <w:rPr>
          <w:rFonts w:ascii="Times New Roman" w:eastAsiaTheme="minorHAnsi" w:hAnsi="Times New Roman"/>
        </w:rPr>
        <w:t>Proper identification to verify your</w:t>
      </w:r>
      <w:r w:rsidRPr="00DB13C2">
        <w:rPr>
          <w:rFonts w:ascii="Times New Roman" w:eastAsiaTheme="minorHAnsi" w:hAnsi="Times New Roman"/>
          <w:spacing w:val="-3"/>
        </w:rPr>
        <w:t xml:space="preserve"> </w:t>
      </w:r>
      <w:r w:rsidRPr="00DB13C2">
        <w:rPr>
          <w:rFonts w:ascii="Times New Roman" w:eastAsiaTheme="minorHAnsi" w:hAnsi="Times New Roman"/>
        </w:rPr>
        <w:t>identity.</w:t>
      </w:r>
    </w:p>
    <w:p w:rsidR="00DB13C2" w:rsidRPr="00DB13C2" w:rsidRDefault="00DB13C2" w:rsidP="00DB13C2">
      <w:pPr>
        <w:kinsoku w:val="0"/>
        <w:overflowPunct w:val="0"/>
        <w:autoSpaceDE w:val="0"/>
        <w:autoSpaceDN w:val="0"/>
        <w:adjustRightInd w:val="0"/>
        <w:spacing w:before="5"/>
        <w:rPr>
          <w:rFonts w:ascii="Times New Roman" w:eastAsiaTheme="minorHAnsi" w:hAnsi="Times New Roman"/>
        </w:rPr>
      </w:pPr>
    </w:p>
    <w:p w:rsidR="00DB13C2" w:rsidRPr="00DB13C2" w:rsidRDefault="00DB13C2" w:rsidP="00DB13C2">
      <w:pPr>
        <w:numPr>
          <w:ilvl w:val="0"/>
          <w:numId w:val="5"/>
        </w:numPr>
        <w:tabs>
          <w:tab w:val="left" w:pos="700"/>
        </w:tabs>
        <w:kinsoku w:val="0"/>
        <w:overflowPunct w:val="0"/>
        <w:autoSpaceDE w:val="0"/>
        <w:autoSpaceDN w:val="0"/>
        <w:adjustRightInd w:val="0"/>
        <w:ind w:left="400" w:right="153" w:firstLine="0"/>
        <w:rPr>
          <w:rFonts w:ascii="Times New Roman" w:eastAsiaTheme="minorHAnsi" w:hAnsi="Times New Roman"/>
        </w:rPr>
      </w:pPr>
      <w:r w:rsidRPr="00DB13C2">
        <w:rPr>
          <w:rFonts w:ascii="Times New Roman" w:eastAsiaTheme="minorHAnsi" w:hAnsi="Times New Roman"/>
        </w:rPr>
        <w:t>The proper information regarding the period of time for which the report shall be available to users of the credit</w:t>
      </w:r>
      <w:r w:rsidRPr="00DB13C2">
        <w:rPr>
          <w:rFonts w:ascii="Times New Roman" w:eastAsiaTheme="minorHAnsi" w:hAnsi="Times New Roman"/>
          <w:spacing w:val="-3"/>
        </w:rPr>
        <w:t xml:space="preserve"> </w:t>
      </w:r>
      <w:r w:rsidRPr="00DB13C2">
        <w:rPr>
          <w:rFonts w:ascii="Times New Roman" w:eastAsiaTheme="minorHAnsi" w:hAnsi="Times New Roman"/>
        </w:rPr>
        <w:t>report.</w:t>
      </w:r>
    </w:p>
    <w:p w:rsidR="00DB13C2" w:rsidRPr="00DB13C2" w:rsidRDefault="00DB13C2" w:rsidP="00DB13C2">
      <w:pPr>
        <w:kinsoku w:val="0"/>
        <w:overflowPunct w:val="0"/>
        <w:autoSpaceDE w:val="0"/>
        <w:autoSpaceDN w:val="0"/>
        <w:adjustRightInd w:val="0"/>
        <w:spacing w:before="4"/>
        <w:rPr>
          <w:rFonts w:ascii="Times New Roman" w:eastAsiaTheme="minorHAnsi" w:hAnsi="Times New Roman"/>
        </w:rPr>
      </w:pPr>
    </w:p>
    <w:p w:rsidR="00DB13C2" w:rsidRPr="00DB13C2" w:rsidRDefault="00DB13C2" w:rsidP="00DB13C2">
      <w:pPr>
        <w:numPr>
          <w:ilvl w:val="0"/>
          <w:numId w:val="5"/>
        </w:numPr>
        <w:tabs>
          <w:tab w:val="left" w:pos="700"/>
        </w:tabs>
        <w:kinsoku w:val="0"/>
        <w:overflowPunct w:val="0"/>
        <w:autoSpaceDE w:val="0"/>
        <w:autoSpaceDN w:val="0"/>
        <w:adjustRightInd w:val="0"/>
        <w:ind w:left="400" w:right="201" w:firstLine="0"/>
        <w:jc w:val="both"/>
        <w:rPr>
          <w:rFonts w:ascii="Times New Roman" w:eastAsiaTheme="minorHAnsi" w:hAnsi="Times New Roman"/>
        </w:rPr>
      </w:pPr>
      <w:r w:rsidRPr="00DB13C2">
        <w:rPr>
          <w:rFonts w:ascii="Times New Roman" w:eastAsiaTheme="minorHAnsi" w:hAnsi="Times New Roman"/>
        </w:rPr>
        <w:t>A consumer reporting agency that receives a request from a consumer to lift temporarily a freeze on a credit report shall comply with the request no later than three business days after receiving the request. By January 31, 2009, the consumer reporting agency must temporarily lift the freeze within 15 minutes of receiving the</w:t>
      </w:r>
      <w:r w:rsidRPr="00DB13C2">
        <w:rPr>
          <w:rFonts w:ascii="Times New Roman" w:eastAsiaTheme="minorHAnsi" w:hAnsi="Times New Roman"/>
          <w:spacing w:val="-7"/>
        </w:rPr>
        <w:t xml:space="preserve"> </w:t>
      </w:r>
      <w:r w:rsidRPr="00DB13C2">
        <w:rPr>
          <w:rFonts w:ascii="Times New Roman" w:eastAsiaTheme="minorHAnsi" w:hAnsi="Times New Roman"/>
        </w:rPr>
        <w:t>request.</w:t>
      </w:r>
    </w:p>
    <w:p w:rsidR="00DB13C2" w:rsidRPr="00DB13C2" w:rsidRDefault="00DB13C2" w:rsidP="00DB13C2">
      <w:pPr>
        <w:kinsoku w:val="0"/>
        <w:overflowPunct w:val="0"/>
        <w:autoSpaceDE w:val="0"/>
        <w:autoSpaceDN w:val="0"/>
        <w:adjustRightInd w:val="0"/>
        <w:spacing w:before="3"/>
        <w:rPr>
          <w:rFonts w:ascii="Times New Roman" w:eastAsiaTheme="minorHAnsi" w:hAnsi="Times New Roman"/>
        </w:rPr>
      </w:pPr>
    </w:p>
    <w:p w:rsidR="00DB13C2" w:rsidRPr="00DB13C2" w:rsidRDefault="00DB13C2" w:rsidP="00DB13C2">
      <w:pPr>
        <w:kinsoku w:val="0"/>
        <w:overflowPunct w:val="0"/>
        <w:autoSpaceDE w:val="0"/>
        <w:autoSpaceDN w:val="0"/>
        <w:adjustRightInd w:val="0"/>
        <w:spacing w:before="1"/>
        <w:ind w:left="40" w:right="150"/>
        <w:rPr>
          <w:rFonts w:ascii="Times New Roman" w:eastAsiaTheme="minorHAnsi" w:hAnsi="Times New Roman"/>
        </w:rPr>
      </w:pPr>
      <w:r w:rsidRPr="00DB13C2">
        <w:rPr>
          <w:rFonts w:ascii="Times New Roman" w:eastAsiaTheme="minorHAnsi" w:hAnsi="Times New Roman"/>
        </w:rPr>
        <w:t>A security freeze does not apply to circumstances where you have an existing account relationship and a copy of your report is requested by your existing creditor or its agents or affiliates for certain types of account review, collection, fraud control or similar activities.</w:t>
      </w:r>
    </w:p>
    <w:p w:rsidR="00DB13C2" w:rsidRPr="00DB13C2" w:rsidRDefault="00DB13C2" w:rsidP="00DB13C2">
      <w:pPr>
        <w:kinsoku w:val="0"/>
        <w:overflowPunct w:val="0"/>
        <w:autoSpaceDE w:val="0"/>
        <w:autoSpaceDN w:val="0"/>
        <w:adjustRightInd w:val="0"/>
        <w:spacing w:before="3"/>
        <w:rPr>
          <w:rFonts w:ascii="Times New Roman" w:eastAsiaTheme="minorHAnsi" w:hAnsi="Times New Roman"/>
        </w:rPr>
      </w:pPr>
    </w:p>
    <w:p w:rsidR="00DB13C2" w:rsidRPr="00DB13C2" w:rsidRDefault="00DB13C2" w:rsidP="00DB13C2">
      <w:pPr>
        <w:kinsoku w:val="0"/>
        <w:overflowPunct w:val="0"/>
        <w:autoSpaceDE w:val="0"/>
        <w:autoSpaceDN w:val="0"/>
        <w:adjustRightInd w:val="0"/>
        <w:ind w:left="40" w:right="150"/>
        <w:rPr>
          <w:rFonts w:ascii="Times New Roman" w:eastAsiaTheme="minorHAnsi" w:hAnsi="Times New Roman"/>
        </w:rPr>
      </w:pPr>
      <w:r w:rsidRPr="00DB13C2">
        <w:rPr>
          <w:rFonts w:ascii="Times New Roman" w:eastAsiaTheme="minorHAnsi" w:hAnsi="Times New Roman"/>
        </w:rPr>
        <w:t>If you are actively seeking a new credit, loan, utility, telephone, or insurance account, you should understand that the procedures involved in lifting a security freeze may slow your own applications for credit. You should plan ahead and lift a freeze with enough advance notice before you apply for new credit for the lifting to take effect. Until January 31, 2009, you should lift the freeze at least 3 business days before applying, and after that date you should lift the</w:t>
      </w:r>
    </w:p>
    <w:p w:rsidR="00DB13C2" w:rsidRDefault="00DB13C2" w:rsidP="00DB13C2">
      <w:pPr>
        <w:kinsoku w:val="0"/>
        <w:overflowPunct w:val="0"/>
        <w:autoSpaceDE w:val="0"/>
        <w:autoSpaceDN w:val="0"/>
        <w:adjustRightInd w:val="0"/>
        <w:spacing w:line="258" w:lineRule="exact"/>
        <w:ind w:left="40"/>
        <w:rPr>
          <w:rFonts w:ascii="Times New Roman" w:eastAsiaTheme="minorHAnsi" w:hAnsi="Times New Roman"/>
        </w:rPr>
      </w:pPr>
      <w:r w:rsidRPr="00DB13C2">
        <w:rPr>
          <w:rFonts w:ascii="Times New Roman" w:eastAsiaTheme="minorHAnsi" w:hAnsi="Times New Roman"/>
        </w:rPr>
        <w:t>freeze at least 15 minutes before applying for a new account.</w:t>
      </w:r>
    </w:p>
    <w:p w:rsidR="00DB13C2" w:rsidRPr="00DB13C2" w:rsidRDefault="00DB13C2" w:rsidP="00DB13C2">
      <w:pPr>
        <w:kinsoku w:val="0"/>
        <w:overflowPunct w:val="0"/>
        <w:autoSpaceDE w:val="0"/>
        <w:autoSpaceDN w:val="0"/>
        <w:adjustRightInd w:val="0"/>
        <w:spacing w:line="258" w:lineRule="exact"/>
        <w:ind w:left="40"/>
        <w:rPr>
          <w:rFonts w:ascii="Times New Roman" w:eastAsiaTheme="minorHAnsi" w:hAnsi="Times New Roman"/>
          <w:sz w:val="16"/>
          <w:szCs w:val="16"/>
        </w:rPr>
      </w:pPr>
    </w:p>
    <w:p w:rsidR="00DB13C2" w:rsidRPr="00DB13C2" w:rsidRDefault="00DB13C2" w:rsidP="00DB13C2">
      <w:pPr>
        <w:kinsoku w:val="0"/>
        <w:overflowPunct w:val="0"/>
        <w:autoSpaceDE w:val="0"/>
        <w:autoSpaceDN w:val="0"/>
        <w:adjustRightInd w:val="0"/>
        <w:spacing w:line="258" w:lineRule="exact"/>
        <w:ind w:left="40"/>
        <w:rPr>
          <w:rFonts w:ascii="Times New Roman" w:eastAsiaTheme="minorHAnsi" w:hAnsi="Times New Roman"/>
        </w:rPr>
      </w:pPr>
      <w:r w:rsidRPr="00DB13C2">
        <w:rPr>
          <w:rFonts w:ascii="Times New Roman" w:eastAsiaTheme="minorHAnsi" w:hAnsi="Times New Roman"/>
        </w:rPr>
        <w:t>You have a right to bring a civil action against someone who violates your rights under the credit</w:t>
      </w:r>
    </w:p>
    <w:p w:rsidR="00EC66D8" w:rsidRPr="00DB13C2" w:rsidRDefault="00DB13C2" w:rsidP="00DB13C2">
      <w:pPr>
        <w:kinsoku w:val="0"/>
        <w:overflowPunct w:val="0"/>
        <w:autoSpaceDE w:val="0"/>
        <w:autoSpaceDN w:val="0"/>
        <w:adjustRightInd w:val="0"/>
        <w:spacing w:line="258" w:lineRule="exact"/>
        <w:ind w:left="40"/>
        <w:rPr>
          <w:rFonts w:ascii="Times New Roman" w:eastAsiaTheme="minorHAnsi" w:hAnsi="Times New Roman"/>
        </w:rPr>
      </w:pPr>
      <w:r w:rsidRPr="00DB13C2">
        <w:rPr>
          <w:rFonts w:ascii="Times New Roman" w:eastAsiaTheme="minorHAnsi" w:hAnsi="Times New Roman"/>
        </w:rPr>
        <w:t>reporting laws. The action can be brought against a consumer reporting agency.</w:t>
      </w:r>
    </w:p>
    <w:sectPr w:rsidR="00EC66D8" w:rsidRPr="00DB13C2" w:rsidSect="00CD19E2">
      <w:type w:val="continuous"/>
      <w:pgSz w:w="12240" w:h="15840"/>
      <w:pgMar w:top="1380" w:right="1340" w:bottom="280" w:left="13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48406F">
      <w:t>8</w:t>
    </w:r>
    <w:r w:rsidR="00CD19E2">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E2" w:rsidRDefault="00CD19E2">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9E2" w:rsidRDefault="00CD19E2">
                          <w:pPr>
                            <w:pStyle w:val="BodyText"/>
                            <w:spacing w:before="10"/>
                            <w:ind w:left="60"/>
                          </w:pPr>
                          <w:r>
                            <w:fldChar w:fldCharType="begin"/>
                          </w:r>
                          <w:r>
                            <w:instrText xml:space="preserve"> PAGE </w:instrText>
                          </w:r>
                          <w:r>
                            <w:fldChar w:fldCharType="separate"/>
                          </w:r>
                          <w:r w:rsidR="0048406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CD19E2" w:rsidRDefault="00CD19E2">
                    <w:pPr>
                      <w:pStyle w:val="BodyText"/>
                      <w:spacing w:before="10"/>
                      <w:ind w:left="60"/>
                    </w:pPr>
                    <w:r>
                      <w:fldChar w:fldCharType="begin"/>
                    </w:r>
                    <w:r>
                      <w:instrText xml:space="preserve"> PAGE </w:instrText>
                    </w:r>
                    <w:r>
                      <w:fldChar w:fldCharType="separate"/>
                    </w:r>
                    <w:r w:rsidR="0048406F">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AA4BCB">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48406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48406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406F"/>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A4BCB"/>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19E2"/>
    <w:rsid w:val="00CD2E20"/>
    <w:rsid w:val="00CD52C3"/>
    <w:rsid w:val="00CF7EEE"/>
    <w:rsid w:val="00D22657"/>
    <w:rsid w:val="00D3127C"/>
    <w:rsid w:val="00D4090F"/>
    <w:rsid w:val="00D75EBE"/>
    <w:rsid w:val="00DB13C2"/>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93E0BD"/>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2022-10-19T17:33:00Z</dcterms:created>
  <dcterms:modified xsi:type="dcterms:W3CDTF">2023-08-18T17:36:00Z</dcterms:modified>
</cp:coreProperties>
</file>